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Бердска</w:t>
      </w:r>
    </w:p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27.07.2026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2627/65</w:t>
      </w:r>
    </w:p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ПЛАН МЕРОПРИЯТИЙ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по реализации в 2026–2028 годах в городе Бердске </w:t>
      </w:r>
      <w:r>
        <w:rPr>
          <w:rFonts w:cs="Times New Roman" w:ascii="Times New Roman" w:hAnsi="Times New Roman"/>
          <w:sz w:val="28"/>
          <w:szCs w:val="28"/>
        </w:rPr>
        <w:t xml:space="preserve">Стратегии государственной национальной политики 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Российской Федерации на период до 2036 года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W w:w="15864" w:type="dxa"/>
        <w:jc w:val="center"/>
        <w:tblInd w:w="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noHBand="0" w:noVBand="1" w:firstColumn="1" w:lastRow="0" w:lastColumn="0" w:firstRow="1"/>
      </w:tblPr>
      <w:tblGrid>
        <w:gridCol w:w="544"/>
        <w:gridCol w:w="2927"/>
        <w:gridCol w:w="31"/>
        <w:gridCol w:w="1488"/>
        <w:gridCol w:w="32"/>
        <w:gridCol w:w="1948"/>
        <w:gridCol w:w="32"/>
        <w:gridCol w:w="2097"/>
        <w:gridCol w:w="32"/>
        <w:gridCol w:w="4077"/>
        <w:gridCol w:w="32"/>
        <w:gridCol w:w="2623"/>
      </w:tblGrid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Индикатор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(количественный или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качественный)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для контроля исполнения мероприятия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I. Укрепление общероссийской гражданской идентичности (гражданского самосознания) на основе традиционных российских духовно-нравственных и культурно-исторических ценностей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Защита, поддержка и развитие русского языка как государственного языка Российской Федерации, как языка государствообразующего народа</w:t>
            </w:r>
          </w:p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 как родного языка, а также продвижение русского языка как языка межнационального общения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Семинар по продвижению русского языка как языка межнационального общения «Говорим</w:t>
            </w:r>
          </w:p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по-русски правильно»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оптимальных условий для использования русского языка и его защиты как государственного языка Российской Федерации, языка межнационального общения.</w:t>
            </w:r>
          </w:p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культурных, образовательных и научно-просветительских программ, направленных на укрепление позиций русского языка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работе Всероссийской научно-практической конференции «Художественное слово: автор, рассказчик, слушатель»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общероссийской гражданской идентичности (гражданского самосознания) на основе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"/>
              <w:keepNext w:val="true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Региональный конкурс исполнителей художественного слова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общероссийской гражданской идентичности (гражданского самосознания) на основе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hd w:val="clear" w:color="FFFFFF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hd w:val="clear" w:color="FFFFFF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Цикл мероприятий, посвященных Дню русского языка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shd w:val="clear" w:color="FFFFFF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shd w:val="clear" w:color="FFFFFF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УОиМП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shd w:val="clear" w:color="FFFFFF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оптимальных условий для использования русского языка и его защиты как государственного языка Российской Федерации, языка межнационального общения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"/>
              <w:shd w:val="clear" w:color="FFFFFF" w:fill="FFFFFF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Повышение квалификации педагогических работников по вопросам совершенствования норм и условий полноценного функционирования и развития русского языка как государственного языка Российской Федерации по методике преподавания русского языка (курсы повышения квалификации, профессиональная переподготовка, семинары, вебинары, круглые столы)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УОиМП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совершенствование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преподавания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русского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языка как государственного языка Российской Федерации и повышение качества владения им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педагогических работников, прошедших обучение по дополнительным профессиональным программам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Формирование у детей и молодежи на всех этапах образовательного и воспитательного процессов гражданского самосознания, представлений о единстве многонационального народа Российской Федерации (российской нации), воспитание патриотизма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Областном смотре-конкурсе строя и песни «Наследники Победы», посвященный Дню защитника Отечества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у детей и молодежи на всех этапах образовательного и воспитательного процессов гражданского самосознания, представлений о единстве многонационального народа Российской Федерации (российской нации), воспитание патриотизма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Межрегиональном молодежном форуме «Народное творчество – молодежный тренд»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сентябрь 2027 года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МБУ«ОДМ»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межнационального (межэтнического) и межрелигиозного согласия, противодействие экстремизму и возникновению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 исторической памяти, традиционных российских духовно-нравственных и культурно-исторических ценностей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Областной фестиваль хоровой музыки «Христос, Весна, Победа!»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 исторической памяти,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посещений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Громкие чтения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«Читаем детям о войне»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защита исторической правды и исторической памяти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Областной праздник «Венок народов: сплетение традиций России и Беларуси», посвященный Дню единения народов России и Беларуси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 исторической памяти,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/>
              </w:rPr>
              <w:t>XI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открытый фестиваль славянской культуры «Славянский круг-Н»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 исторической памяти,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Областной фестиваль народного творчества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«В дружбе наша сила»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памяти святого равноапостольного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Великого князя Владимира посвящается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 исторической памяти,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Межрегиональный детско-юношеский конкурс любительских короткометражных фильмов «На Крыльях Ангела»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 исторической памяти, традиционных российских духовно-нравственных и культурно-исторических ценностей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мероприятий, посвященных государственным праздникам России: Дню России, Дню народного единства, Дню Победы советского народа в Великой Отечественной войне 1941–1945 годов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УОиМП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МБУ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ОДМ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«ОФКиС»,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утверждение идей патриотизма, служения Отечеству и ответственности за его судьбу, исторического гражданского единства и дружбы народов, межнационального (межэтнического) согласия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15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Развитие деятельности исторического парка «Россия – Моя история»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2027–2028 годы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повышение интереса к изучению истории, значимых исторических событий, ставших основой российских государственных праздников, памятных дат и памятных дней, в том числе посредством популяризации архивных документов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количество реализо-ванных проектов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shd w:fill="auto" w:val="clear"/>
              </w:rPr>
              <w:t>II. Сохранение и поддержка этнокультурного и языкового многообразия Российской Федерации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Этнокультурное и духовное развитие народов Российской Федерации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XI</w:t>
            </w:r>
            <w:r>
              <w:rPr>
                <w:rFonts w:eastAsia="Times New Roman"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Межрегиональном конкурсе национальной песни «Тебе, мое Отечество – 2026»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Международном конкурсе белорусского творчества «От Полесья до Сибири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несите, аисты, весну!»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межнациональной программе «Навруз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по-сибирски» (в рамках празднования</w:t>
            </w:r>
          </w:p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Дня «Навруз»)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Конкурс исследовательских работ «Мои этнические корни»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государственная поддержка и популяризация научных исследований, научно-популярных публикаций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поданных заявок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Региональном языковом межнациональном вокальном фестивале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Дни культуры российских немцев в Новосибирской области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межрегиональныом празднике «Сибирский Сабантуй»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Региональные этнокультурные семейные встречи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 Фестивалях национальных культур народов, проживающих на территории Новосибирской области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художествен-ного творчества, содействие воз-рождению,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мероприятий;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Общероссийский конкурс «Этнический семейный альманах» (видео-рассказ о семейных традициях)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МКУ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«УО и МП»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приумножение духовного, исторического и культурного наследия и потенциала многонационального народа Российской Федерации (российской нации)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Творческий проект «Созвучие культур»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 во взаимодействии с заинтересо-ванными НКО, ОО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сохранение и популяризация нематериального этнокультурного достояния,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Мероприятия, посвященные Международному дню родного языка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МКУ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«УОиМП»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оптимальных условий для использования, сохранения и развития языков народов Российской Федерации, обеспечение прав российских граждан на изучение родного языка и других языков народов Российской Федерации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мероприятий;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День языков народов Российской Федерации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МКУ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«УОиМП»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МБУ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«ОДМ»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оптимальных условий для использования, сохранения и развития языков народов Российской Федерации, обеспечение прав российских граждан на изучение родного языка и других языков народов Российской Федерации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мероприятий;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30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цикла мероприятий по поддержке этнокультурного развития народов Российской Федерации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популяризация и распространение произведений литературы и искусства народов Российской Федерации, организация и поддержка проведения художественных выставок, фестивалей, конкурсов, гастролей творческих коллективов и других мероприятий в области культуры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мероприятий,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Межнациональный фестиваль «Детство без границ», в рамках проекта «Единство. Детство. Сибирь»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объединяющей роли русского народа как государствообразующего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Поэтические марафоны «Стих Пушкина читать начни!», «Отчизне посвятим души прекрасные порывы!»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объединяющей роли русского народа как государствообразующего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Открытые лекции по русскому языку и литературе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объединяющей роли русского народа как государствообразующего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Цикл мероприятий, приуроченных ко Дню славянской письменности и культуры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МКУ ОК,</w:t>
            </w:r>
          </w:p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МКУ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«УОиМП»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,</w:t>
            </w:r>
          </w:p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МБУ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«ОДМ»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,</w:t>
            </w:r>
          </w:p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Творческие проекты школы креативных индустрий, направленные на популяризацию русского языка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МБУ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</w:rPr>
              <w:t>«ОДМ»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 пределах средств, предусмотренных в местном бюджете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просветительских, научно-исследовательских, издательских проектов в области сохранения и развития нематериального этнокультурного достояния русского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реализован-ных проектов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фестивалей, конкурсов, выставок, ярмарок, праздников, организация творческих лабораторий, просветительских и иных мероприятий, направленных на сохранение и развитие культуры русского народа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УОиМП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МБУ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ОДМ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«ОФКиС»,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keepNext w:val="tru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Поддержка профессиональных и любительских коллективов народного творчества, способствующих популяризации культуры русского народа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 ОК,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поддержан-ных коллективов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Сохранение самобытной культуры, традиционного образа жизни и поддержка традиционной хозяйственной деятельности коренных малочисленных народов Российской Федерации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outlineLvl w:val="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Мониторинг обращений граждан по вопросам сохранения самобытной культуры коренных малочисленных народов Российской Федерации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условий для участия коренных малочисленных народов Российской Федерации в решении вопросов, затрагивающих их права и интересы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рассмотрен-ных обращений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III. Обеспечение межнационального (межэтнического) и межрелигиозного согласия, противодействие экстремизму и возникновению конфликтов на национальной (этнической) и (или) религиозной почве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Профилактика и предупреждение конфликтов на национальной (этнической) и (или) религиозной почве, обеспечение равноправия граждан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Мониторинг обращений граждан по вопросам состояния межнациональных и межконфессиональных отношений в целях раннего предупреждения конфликтов на национальной (этнической) и (или) религиозной почве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межнациональных (межэтнических) и межконфессиональных отношений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рассмотрен-ных обращений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формировании кадрового резерва, на муниципальном уровне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межнациональных (межэтнических) и межконфессиональных отношений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рассмотрен-ных обращений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Размещение в средствах массовой информации, информационно-телекоммуникационной сети «Интернет» материалов, направленных на профилактику конфликтов на национальной (этнической) и (или) религиозной почве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обеспечение межнационального (межэтнического) и межрелигиозного согласия, противодействие экстремизму и возникновению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размещенных материалов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Организация проведения цикла мероприятий в целях предупреждения проявлений экстремизма на национальной и религиозной почве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 с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ОМВД по г.Бердску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обеспечение межнационального (межэтнического) и межрелигиозного согласия, противодействие экстремизму и возникновению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мероприятий; количество участников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Мониторинг информационного пространства для своевременного выявления и реагирования на угрозы возникновения конфликтов на национальной (этнической) и (или) религиозной почве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межнациональных (межэтнических) и межконфессиональных отношений;</w:t>
            </w:r>
          </w:p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защита российского общества от внешней идейно-ценностной экспансии и внешнего деструктивного информационно-психологического воздействия, недопущение распространения продукции экстремистского содержания;</w:t>
            </w:r>
          </w:p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совершенствование государственной информационной системы мониторинга в сфере межнациональных и межконфес-сиональных отношений и раннего предупреждения конфликтных ситуаций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отработан-ных информационных поводов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информационных кампаний в средствах массовой информации и социальных сетях, направленных на формирование позитивного образа многонационального общества, продвижение ценностей равноправия и взаимоуважения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обеспечение межнационального (межэтнического) и межрелигиозного согласия, противодействие экстремизму и возникновению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опубликованных материалов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45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Реализация Плана мероприятий («дорожной карты») по социальной и культурной адаптации иностранных граждан на территории Новосибирской области в 2026–2028 годах</w:t>
            </w: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  <w:vertAlign w:val="superscript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tabs>
                <w:tab w:val="clear" w:pos="709"/>
                <w:tab w:val="left" w:pos="1843" w:leader="none"/>
              </w:tabs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ОМС во взаимодействии с</w:t>
            </w:r>
          </w:p>
          <w:p>
            <w:pPr>
              <w:pStyle w:val="ConsPlusNormal"/>
              <w:tabs>
                <w:tab w:val="clear" w:pos="709"/>
                <w:tab w:val="left" w:pos="1843" w:leader="none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отделом по вопросам миграции ОМВД по г.Бердску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 xml:space="preserve">создание условий для адаптации, способствующих успешному освоению иностранными гражданами, в том числе их несовершеннолетними детьми, русского языка, общепризнанных в российском обществе норм поведения (правил общежития, отправления религиозных обрядов) </w:t>
            </w:r>
            <w:r>
              <w:rPr>
                <w:rFonts w:eastAsia="Times New Roman" w:ascii="Times New Roman" w:hAnsi="Times New Roman"/>
                <w:spacing w:val="-2"/>
                <w:sz w:val="24"/>
                <w:szCs w:val="24"/>
                <w:shd w:fill="auto" w:val="clear"/>
              </w:rPr>
              <w:t>с учетом социальных</w:t>
            </w: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, исторических и национально-культурных особенностей Новосибирской области, формированию у них присущих российскому обществу правосознания и правовой культуры, приобщению их к традиционным российским духовно-нравственным ценностям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количество мероприятий;</w:t>
            </w:r>
          </w:p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количество участников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  <w:shd w:fill="auto" w:val="clear"/>
              </w:rPr>
              <w:t>Обеспечение участия институтов гражданского общества в реализации государственной национальной политики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рабочих встреч с представителями национально-культурных организаций, общественных объединений и религиозных организаций по вопросам объединения усилий по профилактике экстремизма и терроризма, а также духовно-нравственному оздоровлению общества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вовлечение институтов гражданского общества, в проведение мероприятий по укреплению гражданского единства, гармонизации межнациональных (межэтнических) отношений и профилактике экстремизма, предупреждению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рабочих встреч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Вовлечение институтов гражданского общества в проведение мероприятий по укреплению гражданского единства, гармонизации межнациональных (межэтнических) отношений и профилактике экстремизма, предупреждению конфликтов на национальной (этнической) и (или) религиозной почве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ОМС во взаимодействии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заинтересо-ванными НКО, ОО, РО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вовлечение институтов гражданского общества, в проведение мероприятий по укреплению гражданского единства, гармонизации межнациональных (межэтнических) отношений и профилактике экстремизма, предупреждению конфликтов на национальной (этнической) и (или) религиозной почве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shd w:fill="auto" w:val="clear"/>
              </w:rPr>
              <w:t>IV. Совершенствование государственного управления и информационное сопровождение государственной национальной политики, продвижение на международной арене ее объективных достижений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Совершенствование государственного управления и обеспечение социально-экономических условий для реализации государственной национальной политики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Реализация мероприятий, связанных с проведением регионального этапа Всероссийского конкурса «Лучшая муниципальная практика» по номинации «Укрепление межнационального мира и согласия, реализация иных мероприятий в сфере национальной политики на муниципальном уровне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ОМС,</w:t>
            </w:r>
          </w:p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ОК,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«УОиМП»,</w:t>
            </w:r>
          </w:p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МБУ «ОДМ»,</w:t>
            </w:r>
          </w:p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«ОФКиС»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повышение эффективности системы координации деятельности органов публичной власти при реализации государственной национальной политики Российской Федерации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поданных заявок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Организация обучения государственных гражданских и муниципальных служащих по программам повышения квалификации в сфере государственной национальной политики и межкультурной коммуникации, соответствующих типовым дополнительным профессиональным программам повышения квалификации в данной области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совершенствование государственного управления и обеспечение социально-экономических условий для реализации государственной национальной политики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прошедших обучение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Реализация плана мероприятий по социально-культурному развитию цыган, проживающих в Новосибирской области, в 2026–2036 годах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ОМС,</w:t>
            </w:r>
          </w:p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ОК,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«УОиМП»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учет этнокультурного фактора при осуществлении комплексного и системного развития Новосибирской области и муниципальных образований, обеспечение отраслевого и межотраслевого соответствия государственных (региональных и муниципальных) программ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мероприятий</w:t>
            </w:r>
          </w:p>
        </w:tc>
      </w:tr>
      <w:tr>
        <w:trPr>
          <w:trHeight w:val="20" w:hRule="atLeast"/>
        </w:trPr>
        <w:tc>
          <w:tcPr>
            <w:tcW w:w="15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numPr>
                <w:ilvl w:val="0"/>
                <w:numId w:val="0"/>
              </w:numPr>
              <w:ind w:hanging="0" w:left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Информационное обеспечение реализации государственной национальной политики</w:t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Реализация комплекса информационных мероприятий, направленных на укрепление межнационального, общегражданского единства, традиционных российских духовно-нравственных и культурно исторических ценностей, борьбу с фальсификацией отечественной истории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ОМС,</w:t>
            </w:r>
          </w:p>
          <w:p>
            <w:pPr>
              <w:pStyle w:val="NoSpacing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ОК,</w:t>
            </w:r>
          </w:p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shd w:fill="auto" w:val="clear"/>
              </w:rPr>
              <w:t>МКУ «УОиМП»,</w:t>
            </w:r>
          </w:p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«ОДМ»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keepNext w:val="tru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подготовка и размещение в средствах массовой информации и информационно-коммуникационных сетях, включая сеть «Интернет», информационных материалов, направленных на реализацию государственной национальной политики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количество информа-ционных материалов</w:t>
            </w:r>
          </w:p>
        </w:tc>
      </w:tr>
    </w:tbl>
    <w:p>
      <w:pPr>
        <w:pStyle w:val="NoSpacing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eastAsia="Times New Roman"/>
          <w:vertAlign w:val="superscript"/>
        </w:rPr>
      </w:pPr>
      <w:r>
        <w:rPr>
          <w:rFonts w:eastAsia="Times New Roman" w:ascii="Times New Roman" w:hAnsi="Times New Roman"/>
          <w:vertAlign w:val="superscript"/>
        </w:rPr>
        <w:t>1</w:t>
      </w:r>
      <w:r>
        <w:rPr>
          <w:rFonts w:eastAsia="Times New Roman" w:ascii="Times New Roman" w:hAnsi="Times New Roman"/>
        </w:rPr>
        <w:t>Документ под грифом ДСП.</w:t>
      </w:r>
    </w:p>
    <w:p>
      <w:pPr>
        <w:pStyle w:val="NoSpacing"/>
        <w:jc w:val="right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Применяемые сокращения: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МБУ «ОДМ» -</w:t>
      </w:r>
      <w:r>
        <w:rPr>
          <w:rFonts w:cs="Arial" w:ascii="Times New Roman" w:hAnsi="Times New Roman"/>
          <w:b/>
          <w:bCs/>
          <w:color w:val="333333"/>
          <w:sz w:val="24"/>
          <w:szCs w:val="24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Муниципальное бюджетное учреждение «Отдел по делам молодежи»; 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МКУ «ОФКиС» - Муниципальное казенное учреждени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е «</w:t>
      </w:r>
      <w:r>
        <w:rPr>
          <w:rStyle w:val="Strong"/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Отдел физической культуры и спорта»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МКУ «УОиМП» - Муниципальное казенное учреждение «Управление образования и молодежной политики» города Бердска;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МКУ ОК - Муниципальное казенное учреждение «Отдел культуры г.Бердска»;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НКА - Национально-культурные автономии;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ОМВД по г.Бердску - Главное управление Министерства внутренних дел России по Новосибирской области Отдел Министерства внутренних дел Российской Федерации по городу Бердску;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ОМС - органы местного самоуправления;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ОО - общественные объединения;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Отдел по вопросам миграции ОМВД по г.Бердску - Отдел по вопросам миграции отдела Министерства внутренних дел Российской Федерации по городу Бердску;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РО - религиозные организации.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567" w:right="567" w:gutter="0" w:header="680" w:top="1232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0" w:name="PageNumWizard_HEADER_Базовый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1" w:name="PageNumWizard_HEADER_Базовый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  <w:bookmarkEnd w:id="1"/>
  </w:p>
</w:hdr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link w:val="22"/>
    <w:uiPriority w:val="9"/>
    <w:qFormat/>
    <w:pPr>
      <w:spacing w:lineRule="auto" w:line="240" w:beforeAutospacing="1" w:afterAutospacing="1"/>
      <w:outlineLvl w:val="1"/>
    </w:pPr>
    <w:rPr>
      <w:rFonts w:ascii="Times New Roman" w:hAnsi="Times New Roman" w:eastAsia="Times New Roman"/>
      <w:b/>
      <w:bCs/>
      <w:color w:val="003C80"/>
      <w:sz w:val="36"/>
      <w:szCs w:val="36"/>
      <w:lang w:eastAsia="ru-RU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InternetLink">
    <w:name w:val="Internet Link"/>
    <w:uiPriority w:val="99"/>
    <w:unhideWhenUsed/>
    <w:qFormat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21" w:customStyle="1">
    <w:name w:val="Основной текст с отступом 2 Знак"/>
    <w:link w:val="BodyTextIndent2"/>
    <w:uiPriority w:val="99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Текст выноски Знак"/>
    <w:link w:val="BalloonText"/>
    <w:uiPriority w:val="99"/>
    <w:semiHidden/>
    <w:qFormat/>
    <w:rPr>
      <w:rFonts w:ascii="Tahoma" w:hAnsi="Tahoma" w:eastAsia="Calibri" w:cs="Tahoma"/>
      <w:sz w:val="16"/>
      <w:szCs w:val="16"/>
    </w:rPr>
  </w:style>
  <w:style w:type="character" w:styleId="22" w:customStyle="1">
    <w:name w:val="Заголовок 2 Знак"/>
    <w:uiPriority w:val="9"/>
    <w:qFormat/>
    <w:rPr>
      <w:rFonts w:ascii="Times New Roman" w:hAnsi="Times New Roman" w:eastAsia="Times New Roman" w:cs="Times New Roman"/>
      <w:b/>
      <w:bCs/>
      <w:color w:val="003C80"/>
      <w:sz w:val="36"/>
      <w:szCs w:val="36"/>
      <w:lang w:eastAsia="ru-RU"/>
    </w:rPr>
  </w:style>
  <w:style w:type="character" w:styleId="Style13" w:customStyle="1">
    <w:name w:val="Верхний колонтитул Знак"/>
    <w:uiPriority w:val="99"/>
    <w:qFormat/>
    <w:rPr>
      <w:rFonts w:ascii="Calibri" w:hAnsi="Calibri" w:eastAsia="Calibri" w:cs="Times New Roman"/>
    </w:rPr>
  </w:style>
  <w:style w:type="character" w:styleId="Style14" w:customStyle="1">
    <w:name w:val="Нижний колонтитул Знак"/>
    <w:uiPriority w:val="99"/>
    <w:qFormat/>
    <w:rPr>
      <w:rFonts w:ascii="Calibri" w:hAnsi="Calibri" w:eastAsia="Calibri" w:cs="Times New Roman"/>
    </w:rPr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Style15" w:customStyle="1">
    <w:name w:val="Текст примечания Знак"/>
    <w:uiPriority w:val="99"/>
    <w:semiHidden/>
    <w:qFormat/>
    <w:rPr>
      <w:rFonts w:ascii="Calibri" w:hAnsi="Calibri" w:eastAsia="Calibri" w:cs="Times New Roman"/>
      <w:sz w:val="20"/>
      <w:szCs w:val="20"/>
    </w:rPr>
  </w:style>
  <w:style w:type="character" w:styleId="Style16" w:customStyle="1">
    <w:name w:val="Тема примечания Знак"/>
    <w:link w:val="annotationsubject"/>
    <w:uiPriority w:val="99"/>
    <w:semiHidden/>
    <w:qFormat/>
    <w:rPr>
      <w:rFonts w:ascii="Calibri" w:hAnsi="Calibri" w:eastAsia="Calibri" w:cs="Times New Roman"/>
      <w:b/>
      <w:bCs/>
      <w:sz w:val="20"/>
      <w:szCs w:val="20"/>
    </w:rPr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val="4F81BD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99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4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8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10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/>
    </w:pPr>
    <w:rPr/>
  </w:style>
  <w:style w:type="paragraph" w:styleId="IndexHeading">
    <w:name w:val="Index Heading"/>
    <w:basedOn w:val="Style17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ConsPlusTitlePage" w:customStyle="1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16"/>
      <w:szCs w:val="20"/>
      <w:lang w:val="en-US" w:eastAsia="zh-CN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uiPriority w:val="99"/>
    <w:qFormat/>
    <w:pPr>
      <w:spacing w:lineRule="auto" w:line="360" w:before="0" w:after="0"/>
      <w:ind w:firstLine="709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5"/>
    <w:uiPriority w:val="99"/>
    <w:semiHidden/>
    <w:unhideWhenUsed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pPr/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Mangal"/>
      <w:color w:val="000000"/>
      <w:kern w:val="0"/>
      <w:sz w:val="24"/>
      <w:szCs w:val="24"/>
      <w:lang w:val="ru-RU" w:eastAsia="en-US" w:bidi="ar-SA"/>
    </w:rPr>
  </w:style>
  <w:style w:type="paragraph" w:styleId="11" w:customStyle="1">
    <w:name w:val="Без интервал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auto"/>
      <w:kern w:val="0"/>
      <w:sz w:val="20"/>
      <w:szCs w:val="20"/>
      <w:lang w:val="ru-RU" w:eastAsia="zh-CN" w:bidi="ar-SA"/>
    </w:rPr>
  </w:style>
  <w:style w:type="paragraph" w:styleId="23" w:customStyle="1">
    <w:name w:val="Основной текст2"/>
    <w:qFormat/>
    <w:pPr>
      <w:widowControl w:val="false"/>
      <w:shd w:val="clear" w:color="auto" w:fill="FFFFFF"/>
      <w:suppressAutoHyphens w:val="true"/>
      <w:bidi w:val="0"/>
      <w:spacing w:lineRule="exact" w:line="331" w:before="0" w:after="360"/>
      <w:jc w:val="left"/>
    </w:pPr>
    <w:rPr>
      <w:rFonts w:ascii="Times New Roman" w:hAnsi="Times New Roman" w:eastAsia="Arial Unicode MS" w:cs="Arial Unicode MS"/>
      <w:color w:val="000000"/>
      <w:kern w:val="0"/>
      <w:sz w:val="28"/>
      <w:szCs w:val="28"/>
      <w:lang w:val="ru-RU" w:eastAsia="zh-CN" w:bidi="ar-SA"/>
    </w:rPr>
  </w:style>
  <w:style w:type="paragraph" w:styleId="Style19" w:customStyle="1">
    <w:name w:val="Содержимое таблицы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Arial" w:hAnsi="Arial" w:eastAsia="SimSun" w:cs="Mangal"/>
      <w:color w:val="auto"/>
      <w:kern w:val="0"/>
      <w:sz w:val="24"/>
      <w:szCs w:val="24"/>
      <w:lang w:val="ru-RU" w:eastAsia="zh-CN" w:bidi="hi-IN"/>
    </w:rPr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Style21">
    <w:name w:val="Верхний колонтитул слева"/>
    <w:basedOn w:val="Header"/>
    <w:qFormat/>
    <w:pPr>
      <w:suppressLineNumbers/>
      <w:tabs>
        <w:tab w:val="clear" w:pos="4677"/>
        <w:tab w:val="clear" w:pos="9355"/>
        <w:tab w:val="center" w:pos="7852" w:leader="none"/>
        <w:tab w:val="right" w:pos="15704" w:leader="none"/>
      </w:tabs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A24CB-5D90-49C7-AE40-2ACFEA12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Application>LibreOffice/24.2.6.2$Linux_X86_64 LibreOffice_project/420$Build-2</Application>
  <AppVersion>15.0000</AppVersion>
  <Pages>15</Pages>
  <Words>2922</Words>
  <Characters>22912</Characters>
  <CharactersWithSpaces>25387</CharactersWithSpaces>
  <Paragraphs>451</Paragraphs>
  <Company>АГНОиПНО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2021-04-15T11:36:00Z</dcterms:created>
  <dc:creator>Лопарева Анна Владимировна</dc:creator>
  <dc:description/>
  <dc:language>ru-RU</dc:language>
  <cp:lastModifiedBy/>
  <cp:lastPrinted>2026-07-27T09:37:24Z</cp:lastPrinted>
  <dcterms:modified xsi:type="dcterms:W3CDTF">2026-07-27T09:37:30Z</dcterms:modified>
  <cp:revision>151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